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4142"/>
        <w:gridCol w:w="5387"/>
        <w:gridCol w:w="312"/>
      </w:tblGrid>
      <w:tr w:rsidR="00AE6AF5" w14:paraId="72439C6C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E4398A4" w14:textId="77777777" w:rsidR="00AE6AF5" w:rsidRDefault="00EE5A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AE6AF5" w14:paraId="3A2C361A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4DB10" w14:textId="77777777" w:rsidR="00AE6AF5" w:rsidRDefault="00AE6A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E4CA28" w14:textId="77777777" w:rsidR="00AE6AF5" w:rsidRDefault="00AE6A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E6AF5" w14:paraId="5FF8DD49" w14:textId="77777777" w:rsidTr="00A22C35">
        <w:trPr>
          <w:trHeight w:val="6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24478E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D9F0B3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3BBE6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37C3B39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347377B2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4E22B7" w14:textId="77777777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312" w:type="dxa"/>
            <w:vAlign w:val="center"/>
          </w:tcPr>
          <w:p w14:paraId="7596C794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0BD3D8C8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3B61D" w14:textId="77777777" w:rsidR="00AE6AF5" w:rsidRDefault="00AE6AF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2E5732" w14:textId="77777777" w:rsidR="00AE6AF5" w:rsidRDefault="00AE6AF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E6AF5" w14:paraId="66E72FC0" w14:textId="77777777" w:rsidTr="00A22C35">
        <w:trPr>
          <w:trHeight w:val="9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302C4C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04FEE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71BA6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7DCA65D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1CA75386" w14:textId="77777777" w:rsidTr="00A22C35">
        <w:trPr>
          <w:trHeight w:val="345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FBD3A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42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2AB4A2A" w14:textId="77777777" w:rsidR="00AE6AF5" w:rsidRDefault="003F227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387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048FCE7" w14:textId="77777777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3B1B2D58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571721BA" w14:textId="77777777" w:rsidTr="00A22C35">
        <w:trPr>
          <w:trHeight w:val="345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3C0B41" w14:textId="77777777" w:rsidR="00AE6AF5" w:rsidRDefault="00AE6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142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4C8892B5" w14:textId="77777777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E70F848" w14:textId="77777777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3EF1A36B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6712617C" w14:textId="77777777" w:rsidTr="00A22C35">
        <w:trPr>
          <w:trHeight w:val="405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75BEF4" w14:textId="77777777" w:rsidR="00AE6AF5" w:rsidRDefault="00AE6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2B5D13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E71DA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828AC4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5526B99D" w14:textId="77777777" w:rsidTr="00A22C35">
        <w:trPr>
          <w:trHeight w:val="51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732BB9F" w14:textId="77777777" w:rsidR="00AE6AF5" w:rsidRDefault="003F227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9FC" w14:textId="71D06FED" w:rsidR="00AE6AF5" w:rsidRDefault="00C732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t>Chromý</w:t>
            </w:r>
          </w:p>
        </w:tc>
        <w:tc>
          <w:tcPr>
            <w:tcW w:w="312" w:type="dxa"/>
            <w:vAlign w:val="center"/>
          </w:tcPr>
          <w:p w14:paraId="48A3F625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2CBB54D0" w14:textId="77777777" w:rsidTr="00A22C35">
        <w:trPr>
          <w:trHeight w:val="315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49ABB1E6" w14:textId="77777777" w:rsidR="00AE6AF5" w:rsidRDefault="003F227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D493AD" w14:textId="2A1EA593" w:rsidR="00AE6AF5" w:rsidRDefault="00CF2CF7" w:rsidP="00D001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t>Ľuboš</w:t>
            </w:r>
          </w:p>
        </w:tc>
        <w:tc>
          <w:tcPr>
            <w:tcW w:w="312" w:type="dxa"/>
            <w:vAlign w:val="center"/>
          </w:tcPr>
          <w:p w14:paraId="28324CDC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512A3A05" w14:textId="77777777" w:rsidTr="00A22C35">
        <w:trPr>
          <w:trHeight w:val="559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9B16E94" w14:textId="77777777" w:rsidR="00AE6AF5" w:rsidRDefault="003F227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EBF464" w14:textId="6B9BC0FB" w:rsidR="00AE6AF5" w:rsidRDefault="002E7E48" w:rsidP="00C732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t>M</w:t>
            </w:r>
            <w:r w:rsidR="00C732C3">
              <w:t>gr., PhD.</w:t>
            </w:r>
          </w:p>
        </w:tc>
        <w:tc>
          <w:tcPr>
            <w:tcW w:w="312" w:type="dxa"/>
            <w:vAlign w:val="center"/>
          </w:tcPr>
          <w:p w14:paraId="750B64E2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501409CA" w14:textId="77777777" w:rsidTr="00A22C35">
        <w:trPr>
          <w:trHeight w:val="66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C00BED6" w14:textId="77777777" w:rsidR="00AE6AF5" w:rsidRDefault="003F227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A5FC99" w14:textId="56732A6B" w:rsidR="00A22C35" w:rsidRPr="00A22C35" w:rsidRDefault="00A22C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1D83FCB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66A40680" w14:textId="77777777" w:rsidTr="00336DF4">
        <w:trPr>
          <w:trHeight w:val="207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BC86952" w14:textId="77777777" w:rsidR="00AE6AF5" w:rsidRDefault="003F227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7D2796" w14:textId="392BBB26" w:rsidR="00AE6AF5" w:rsidRPr="00336DF4" w:rsidRDefault="00EE5AED" w:rsidP="00D0018F">
            <w:pPr>
              <w:pStyle w:val="PredformtovanHTML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="00D0018F">
              <w:rPr>
                <w:rFonts w:ascii="Calibri" w:hAnsi="Calibri" w:cs="Calibri"/>
                <w:color w:val="000000"/>
                <w:sz w:val="16"/>
                <w:szCs w:val="16"/>
              </w:rPr>
              <w:t>Zubná technika– I.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stupeň/ </w:t>
            </w:r>
            <w:r w:rsidR="00D0018F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Dental technicial- I.</w:t>
            </w:r>
            <w:r w:rsidR="001C08B3" w:rsidRPr="001C08B3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degree</w:t>
            </w:r>
          </w:p>
        </w:tc>
        <w:tc>
          <w:tcPr>
            <w:tcW w:w="312" w:type="dxa"/>
            <w:vAlign w:val="center"/>
          </w:tcPr>
          <w:p w14:paraId="56647331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3B0E6CE9" w14:textId="77777777" w:rsidTr="00A22C35">
        <w:trPr>
          <w:trHeight w:val="972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D9A4553" w14:textId="77777777" w:rsidR="00AE6AF5" w:rsidRDefault="003F227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EE5AE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5EA4FC" w14:textId="77777777" w:rsidR="008E3316" w:rsidRDefault="00EE5AED" w:rsidP="008E3316">
            <w:pPr>
              <w:pStyle w:val="Textpoznmkypodiarou"/>
            </w:pPr>
            <w:r w:rsidRPr="0098012E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8E3316">
              <w:rPr>
                <w:color w:val="000000"/>
                <w:sz w:val="16"/>
                <w:szCs w:val="16"/>
              </w:rPr>
              <w:t xml:space="preserve">vedecký výstup / </w:t>
            </w:r>
            <w:r w:rsidR="008E3316">
              <w:rPr>
                <w:sz w:val="16"/>
                <w:szCs w:val="16"/>
              </w:rPr>
              <w:t xml:space="preserve">scientific </w:t>
            </w:r>
            <w:r w:rsidR="008E3316">
              <w:rPr>
                <w:rFonts w:cs="Times New Roman"/>
                <w:bCs/>
                <w:sz w:val="16"/>
              </w:rPr>
              <w:t>output</w:t>
            </w:r>
          </w:p>
          <w:p w14:paraId="025321C2" w14:textId="5BB239C2" w:rsidR="009A7080" w:rsidRDefault="009A7080" w:rsidP="00B74826">
            <w:pPr>
              <w:spacing w:after="0" w:line="240" w:lineRule="auto"/>
              <w:jc w:val="both"/>
              <w:rPr>
                <w:sz w:val="16"/>
              </w:rPr>
            </w:pPr>
          </w:p>
          <w:p w14:paraId="75F7EBDA" w14:textId="0FCEBFC5" w:rsidR="009A7080" w:rsidRPr="00B753AC" w:rsidRDefault="009A7080" w:rsidP="00B74826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1FEE86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53041B9B" w14:textId="77777777" w:rsidTr="00A22C35">
        <w:trPr>
          <w:trHeight w:val="51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3750581" w14:textId="77777777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60FE0E" w14:textId="503AE9A8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C732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21</w:t>
            </w:r>
          </w:p>
        </w:tc>
        <w:tc>
          <w:tcPr>
            <w:tcW w:w="312" w:type="dxa"/>
            <w:vAlign w:val="center"/>
          </w:tcPr>
          <w:p w14:paraId="42FF30E8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22C35" w14:paraId="6CC9BD6C" w14:textId="77777777" w:rsidTr="00E42110">
        <w:trPr>
          <w:trHeight w:val="66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FA3F5A7" w14:textId="77777777" w:rsidR="00A22C35" w:rsidRDefault="003F2275" w:rsidP="00A22C3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A22C3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A22C3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A22C3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A22C3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013FA89" w14:textId="3195692D" w:rsidR="00A22C35" w:rsidRDefault="00A22C35" w:rsidP="00A22C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97F1EB5" w14:textId="77777777" w:rsidR="00A22C35" w:rsidRDefault="00A22C35" w:rsidP="00A22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37273550" w14:textId="77777777" w:rsidTr="00A22C35">
        <w:trPr>
          <w:trHeight w:val="494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274D6DE" w14:textId="77777777" w:rsidR="00336DF4" w:rsidRDefault="003F2275" w:rsidP="00336D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36DF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336DF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63B53A" w14:textId="79C02AC7" w:rsidR="00336DF4" w:rsidRPr="007A4E3A" w:rsidRDefault="00336DF4" w:rsidP="00336DF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72C3CDA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73DF2CB6" w14:textId="77777777" w:rsidTr="000728AA">
        <w:trPr>
          <w:trHeight w:val="855"/>
        </w:trPr>
        <w:tc>
          <w:tcPr>
            <w:tcW w:w="6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63507CA" w14:textId="77777777" w:rsidR="00336DF4" w:rsidRDefault="00336DF4" w:rsidP="00336D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B78C664" w14:textId="77777777" w:rsidR="00336DF4" w:rsidRDefault="003F2275" w:rsidP="00336D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36DF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336DF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5FEDD5" w14:textId="3619EC7B" w:rsidR="00336DF4" w:rsidRDefault="00336DF4" w:rsidP="00336DF4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233AF76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7B412B88" w14:textId="77777777" w:rsidTr="00A22C35">
        <w:trPr>
          <w:trHeight w:val="1383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C34311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4F0D43F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79BE66" w14:textId="77777777" w:rsidR="00C732C3" w:rsidRPr="00C732C3" w:rsidRDefault="00C732C3" w:rsidP="00C73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US"/>
              </w:rPr>
            </w:pPr>
            <w:r w:rsidRPr="00C732C3">
              <w:rPr>
                <w:rFonts w:ascii="Arial" w:hAnsi="Arial" w:cs="Arial"/>
                <w:bCs/>
                <w:sz w:val="16"/>
                <w:szCs w:val="20"/>
                <w:lang w:val="en-US"/>
              </w:rPr>
              <w:t>Využitie aditívnych technológií pri autotransplantácií zubov</w:t>
            </w:r>
            <w:r w:rsidRPr="00C732C3">
              <w:rPr>
                <w:rFonts w:ascii="Arial" w:hAnsi="Arial" w:cs="Arial"/>
                <w:sz w:val="16"/>
                <w:szCs w:val="20"/>
                <w:lang w:val="en-US"/>
              </w:rPr>
              <w:t xml:space="preserve"> / Ľuboš Chromý ... [et al.]  - 2021.In: Trendy v biomedicínském inženýrství : Recenzovaný sborník příspěvků odborné konference. - Liberec (Česko) : Technická univerzita v Liberci s. 74-78 [print]. - ISBN 978-80-7494-586-1 </w:t>
            </w:r>
          </w:p>
          <w:p w14:paraId="168A3E2D" w14:textId="77777777" w:rsidR="00C732C3" w:rsidRPr="00C732C3" w:rsidRDefault="00C732C3" w:rsidP="00C73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US"/>
              </w:rPr>
            </w:pPr>
            <w:r w:rsidRPr="00C732C3">
              <w:rPr>
                <w:rFonts w:ascii="Arial" w:hAnsi="Arial" w:cs="Arial"/>
                <w:sz w:val="16"/>
                <w:szCs w:val="20"/>
                <w:lang w:val="en-US"/>
              </w:rPr>
              <w:t>[CHROMÝ, Ľuboš (20%) - RAJŤÚKOVÁ, Viktória (16%) - VARGA, Patrik (16%) - SINČÁK KONEČNÁ, Andrea (16%) - RIZNIČ, Marcel (16%) - HUDÁK, Radovan (16%)]</w:t>
            </w:r>
          </w:p>
          <w:p w14:paraId="260B2C09" w14:textId="7E6E1DCA" w:rsidR="00DC6E78" w:rsidRPr="00561C27" w:rsidRDefault="00DC6E78" w:rsidP="00EC2A23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5A5231F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40DB7260" w14:textId="77777777" w:rsidTr="004A7967">
        <w:trPr>
          <w:trHeight w:val="986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0075B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396E6C7" w14:textId="77777777" w:rsidR="00336DF4" w:rsidRDefault="003F2275" w:rsidP="00336D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36DF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336DF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36DF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45BACA" w14:textId="3687707D" w:rsidR="00336DF4" w:rsidRPr="00561C27" w:rsidRDefault="00C732C3" w:rsidP="00C732C3">
            <w:pPr>
              <w:pStyle w:val="Textpoznmkypodiarou"/>
              <w:rPr>
                <w:sz w:val="16"/>
                <w:szCs w:val="16"/>
              </w:rPr>
            </w:pPr>
            <w:r>
              <w:t>príspevok z podujatia / conference</w:t>
            </w:r>
            <w:r>
              <w:t xml:space="preserve"> </w:t>
            </w:r>
            <w:r>
              <w:t>contribution</w:t>
            </w:r>
          </w:p>
        </w:tc>
        <w:tc>
          <w:tcPr>
            <w:tcW w:w="312" w:type="dxa"/>
            <w:vAlign w:val="center"/>
          </w:tcPr>
          <w:p w14:paraId="5F1B9978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0B767598" w14:textId="77777777" w:rsidTr="000728AA">
        <w:trPr>
          <w:trHeight w:val="739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BFA84A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CA7E96F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B33D43" w14:textId="335150D4" w:rsidR="00336DF4" w:rsidRDefault="00336DF4" w:rsidP="00336DF4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7420996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24C551A2" w14:textId="77777777" w:rsidTr="00A22C35">
        <w:trPr>
          <w:trHeight w:val="765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8A013D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B5E63C3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476528" w14:textId="0807AB54" w:rsidR="00336DF4" w:rsidRPr="000728AA" w:rsidRDefault="00CF2CF7" w:rsidP="00D0018F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 autora Chromý Ľuboš</w:t>
            </w:r>
            <w:r w:rsidR="00336DF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336DF4" w:rsidRPr="0098012E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C732C3">
              <w:rPr>
                <w:rFonts w:asciiTheme="minorHAnsi" w:hAnsiTheme="minorHAnsi" w:cstheme="minorHAnsi"/>
                <w:sz w:val="16"/>
                <w:szCs w:val="16"/>
              </w:rPr>
              <w:t>20</w:t>
            </w:r>
            <w:r w:rsidR="00336DF4" w:rsidRPr="0098012E">
              <w:rPr>
                <w:rFonts w:asciiTheme="minorHAnsi" w:hAnsiTheme="minorHAnsi" w:cstheme="minorHAnsi"/>
                <w:sz w:val="16"/>
                <w:szCs w:val="16"/>
              </w:rPr>
              <w:t>%)</w:t>
            </w:r>
            <w:r w:rsidR="00336DF4" w:rsidRPr="0098012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="00336DF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/ </w:t>
            </w:r>
            <w:r w:rsidR="00336DF4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="00336DF4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Chromý Ľuboš</w:t>
            </w:r>
            <w:r w:rsidR="00D0018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336DF4" w:rsidRPr="0098012E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C732C3">
              <w:rPr>
                <w:rFonts w:asciiTheme="minorHAnsi" w:hAnsiTheme="minorHAnsi" w:cstheme="minorHAnsi"/>
                <w:sz w:val="16"/>
                <w:szCs w:val="16"/>
              </w:rPr>
              <w:t>20</w:t>
            </w:r>
            <w:r w:rsidR="00336DF4" w:rsidRPr="0098012E">
              <w:rPr>
                <w:rFonts w:asciiTheme="minorHAnsi" w:hAnsiTheme="minorHAnsi" w:cstheme="minorHAnsi"/>
                <w:sz w:val="16"/>
                <w:szCs w:val="16"/>
              </w:rPr>
              <w:t>%)</w:t>
            </w:r>
            <w:r w:rsidR="00336DF4" w:rsidRPr="0098012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="00336DF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79008A44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5C20E741" w14:textId="77777777" w:rsidTr="00A64E77">
        <w:trPr>
          <w:trHeight w:val="1965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D9824D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368A4A1" w14:textId="77777777" w:rsidR="00336DF4" w:rsidRDefault="003F2275" w:rsidP="00336D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36DF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336DF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36DF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36DF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336DF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A2920C" w14:textId="7A6CFDF4" w:rsidR="00C732C3" w:rsidRPr="008E3316" w:rsidRDefault="00336DF4" w:rsidP="00C732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Podiel aut</w:t>
            </w:r>
            <w:r w:rsidR="00CC495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ora je v</w:t>
            </w:r>
            <w:r w:rsidR="00B748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spracovaní jedno</w:t>
            </w:r>
            <w:r w:rsidR="0019678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tlivých častí článku v rozsahu 1</w:t>
            </w:r>
            <w:r w:rsidR="00801D7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stra</w:t>
            </w:r>
            <w:r w:rsidR="00B748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n</w:t>
            </w:r>
            <w:r w:rsidR="00801D7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y</w:t>
            </w:r>
            <w:r w:rsidR="00C732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t.j. 20</w:t>
            </w:r>
            <w:r w:rsidR="00B748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%</w:t>
            </w:r>
            <w:r w:rsidR="00CC495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, pri</w:t>
            </w:r>
            <w:r w:rsidR="008011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čom ide </w:t>
            </w:r>
            <w:r w:rsidR="00CF2CF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o </w:t>
            </w:r>
            <w:r w:rsidR="00CF2CF7">
              <w:rPr>
                <w:rFonts w:ascii="Arial" w:hAnsi="Arial" w:cs="Arial"/>
                <w:bCs/>
                <w:sz w:val="16"/>
                <w:szCs w:val="20"/>
                <w:lang w:val="en-US"/>
              </w:rPr>
              <w:t>v</w:t>
            </w:r>
            <w:r w:rsidR="00CF2CF7" w:rsidRPr="00C732C3">
              <w:rPr>
                <w:rFonts w:ascii="Arial" w:hAnsi="Arial" w:cs="Arial"/>
                <w:bCs/>
                <w:sz w:val="16"/>
                <w:szCs w:val="20"/>
                <w:lang w:val="en-US"/>
              </w:rPr>
              <w:t>yužitie aditívnych technológií pri autotransplantácií</w:t>
            </w:r>
            <w:r w:rsidR="00CF2CF7">
              <w:rPr>
                <w:rFonts w:ascii="Arial" w:hAnsi="Arial" w:cs="Arial"/>
                <w:bCs/>
                <w:sz w:val="16"/>
                <w:szCs w:val="20"/>
                <w:lang w:val="en-US"/>
              </w:rPr>
              <w:t>, čo je označované za vysoko aktuálne riešenie v oblasti stomatochirurgie. V článku autor približuje výrobu, použitie a rozdelenie implantátov vsadených do dutiny úsnej.</w:t>
            </w:r>
          </w:p>
          <w:p w14:paraId="4EA68FCF" w14:textId="77777777" w:rsidR="00196782" w:rsidRDefault="00CF2CF7" w:rsidP="002517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</w:t>
            </w:r>
          </w:p>
          <w:p w14:paraId="511632FC" w14:textId="2F40BB9F" w:rsidR="00CF2CF7" w:rsidRPr="000C22BD" w:rsidRDefault="00CF2CF7" w:rsidP="002517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CF2CF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The author's share in the processing of individual parts of the article is in the scope of 1 page, i.e. 20%, and it is about the use of additive technologies in autotransplantation, which is described as a highly topical solution in the field of </w:t>
            </w:r>
            <w:r w:rsidRPr="00CF2CF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lastRenderedPageBreak/>
              <w:t>stomato surgery. In the article, the author introduces the manufacture, use and distribution of implants inserted into the ostial cavity.</w:t>
            </w:r>
          </w:p>
        </w:tc>
        <w:tc>
          <w:tcPr>
            <w:tcW w:w="312" w:type="dxa"/>
            <w:vAlign w:val="center"/>
          </w:tcPr>
          <w:p w14:paraId="5BAECDFA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E3316" w14:paraId="6B75FEA7" w14:textId="77777777" w:rsidTr="00A22C35">
        <w:trPr>
          <w:trHeight w:val="915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55496FB" w14:textId="77777777" w:rsidR="008E3316" w:rsidRDefault="008E3316" w:rsidP="008E331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B3A7DA" w14:textId="35946C89" w:rsidR="0086653B" w:rsidRPr="0086653B" w:rsidRDefault="0086653B" w:rsidP="0086653B">
            <w:pPr>
              <w:pStyle w:val="PredformtovanHTML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6653B">
              <w:rPr>
                <w:rFonts w:asciiTheme="minorHAnsi" w:hAnsiTheme="minorHAnsi" w:cstheme="minorHAnsi"/>
                <w:sz w:val="16"/>
                <w:szCs w:val="16"/>
              </w:rPr>
              <w:t>Tooth autotransplantation is one of the reliable options to repl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ace a missing tooth in a cavity </w:t>
            </w:r>
            <w:r w:rsidRPr="0086653B">
              <w:rPr>
                <w:rFonts w:asciiTheme="minorHAnsi" w:hAnsiTheme="minorHAnsi" w:cstheme="minorHAnsi"/>
                <w:sz w:val="16"/>
                <w:szCs w:val="16"/>
              </w:rPr>
              <w:t>oral cavity. This method of tooth replacement is accepted especially in cases where it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 problematic and unpredictable </w:t>
            </w:r>
            <w:r w:rsidRPr="0086653B">
              <w:rPr>
                <w:rFonts w:asciiTheme="minorHAnsi" w:hAnsiTheme="minorHAnsi" w:cstheme="minorHAnsi"/>
                <w:sz w:val="16"/>
                <w:szCs w:val="16"/>
              </w:rPr>
              <w:t>to use any conventional treatment method. Such unfavorable factors are various anatomical limitations,</w:t>
            </w:r>
          </w:p>
          <w:p w14:paraId="6A335785" w14:textId="3D7E0E78" w:rsidR="0086653B" w:rsidRPr="0086653B" w:rsidRDefault="0086653B" w:rsidP="0086653B">
            <w:pPr>
              <w:pStyle w:val="PredformtovanHTML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6653B">
              <w:rPr>
                <w:rFonts w:asciiTheme="minorHAnsi" w:hAnsiTheme="minorHAnsi" w:cstheme="minorHAnsi"/>
                <w:sz w:val="16"/>
                <w:szCs w:val="16"/>
              </w:rPr>
              <w:t>pathological processes, traumatic changes and, most often, tooth fractures. An important fa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ctor for autotransplantation is </w:t>
            </w:r>
            <w:r w:rsidRPr="0086653B">
              <w:rPr>
                <w:rFonts w:asciiTheme="minorHAnsi" w:hAnsiTheme="minorHAnsi" w:cstheme="minorHAnsi"/>
                <w:sz w:val="16"/>
                <w:szCs w:val="16"/>
              </w:rPr>
              <w:t>the presence of an intact tooth to be replanted. At present, such a procedure is relatively accessible thanks to</w:t>
            </w:r>
          </w:p>
          <w:p w14:paraId="7967F3FE" w14:textId="19D22B86" w:rsidR="008E3316" w:rsidRPr="00CF2CF7" w:rsidRDefault="0086653B" w:rsidP="0086653B">
            <w:pPr>
              <w:pStyle w:val="PredformtovanHTML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6653B">
              <w:rPr>
                <w:rFonts w:asciiTheme="minorHAnsi" w:hAnsiTheme="minorHAnsi" w:cstheme="minorHAnsi"/>
                <w:sz w:val="16"/>
                <w:szCs w:val="16"/>
              </w:rPr>
              <w:t>the use of 3D technologies for planning and subsequent fabrication of a 3D model of the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replanted tooth using additive </w:t>
            </w:r>
            <w:r w:rsidRPr="0086653B">
              <w:rPr>
                <w:rFonts w:asciiTheme="minorHAnsi" w:hAnsiTheme="minorHAnsi" w:cstheme="minorHAnsi"/>
                <w:sz w:val="16"/>
                <w:szCs w:val="16"/>
              </w:rPr>
              <w:t>technology, which thus has an unmistakable benefit in the planning of the surgical procedure.</w:t>
            </w:r>
          </w:p>
        </w:tc>
        <w:tc>
          <w:tcPr>
            <w:tcW w:w="312" w:type="dxa"/>
            <w:vAlign w:val="center"/>
          </w:tcPr>
          <w:p w14:paraId="24083F6D" w14:textId="77777777" w:rsidR="008E3316" w:rsidRDefault="008E3316" w:rsidP="008E3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E3316" w14:paraId="6BFC51C6" w14:textId="77777777" w:rsidTr="00A22C35">
        <w:trPr>
          <w:trHeight w:val="81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8B74681" w14:textId="77777777" w:rsidR="008E3316" w:rsidRPr="00F12DCA" w:rsidRDefault="008E3316" w:rsidP="008E331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12DC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 w:rsidRPr="00F12DC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br/>
            </w:r>
            <w:r w:rsidRPr="00F12DC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F9C01B" w14:textId="401C56C8" w:rsidR="008E3316" w:rsidRDefault="008E3316" w:rsidP="008E3316">
            <w:p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  </w:t>
            </w:r>
          </w:p>
          <w:p w14:paraId="6AF272B4" w14:textId="64D9466A" w:rsidR="008E3316" w:rsidRPr="00F12DCA" w:rsidRDefault="008E3316" w:rsidP="008E3316">
            <w:pPr>
              <w:spacing w:after="0"/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</w:pPr>
            <w:r>
              <w:rPr>
                <w:rFonts w:cstheme="minorHAnsi"/>
                <w:sz w:val="16"/>
                <w:szCs w:val="16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312" w:type="dxa"/>
            <w:vAlign w:val="center"/>
          </w:tcPr>
          <w:p w14:paraId="7227628B" w14:textId="77777777" w:rsidR="008E3316" w:rsidRDefault="008E3316" w:rsidP="008E3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E3316" w14:paraId="44E2B17F" w14:textId="77777777" w:rsidTr="00A22C35">
        <w:trPr>
          <w:trHeight w:val="117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9DA0CB2" w14:textId="77777777" w:rsidR="008E3316" w:rsidRDefault="008E3316" w:rsidP="008E33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F56FF5" w14:textId="7F050433" w:rsidR="0086653B" w:rsidRDefault="0086653B" w:rsidP="006970C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6653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Autotrasplantácia (transalveolárna transplantácia, autológna transplantácia) je efektívnou, ale stále málo využívanou technikou zahrňujúcou chirurgickú transplantáciu zuba z jedného miesta v ústach pacienta na iné miesto u rovnakého pacienta. </w:t>
            </w:r>
          </w:p>
          <w:p w14:paraId="747F097D" w14:textId="77777777" w:rsidR="0086653B" w:rsidRDefault="0086653B" w:rsidP="006970C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>
              <w:rPr>
                <w:rFonts w:cstheme="minorHAnsi"/>
                <w:color w:val="000000"/>
                <w:sz w:val="16"/>
                <w:szCs w:val="16"/>
                <w:lang w:val="en-US"/>
              </w:rPr>
              <w:t>/</w:t>
            </w:r>
          </w:p>
          <w:p w14:paraId="4D25D491" w14:textId="657B5CA7" w:rsidR="008E3316" w:rsidRPr="00F359F4" w:rsidRDefault="0086653B" w:rsidP="0086653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6653B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Autotransplantation (transalveolar transplantation, autologous transplantation) is an effective but still underused technique involving the surgical transplantation of a tooth from one site in the patient's mouth to another site in the same patient. </w:t>
            </w:r>
          </w:p>
        </w:tc>
        <w:tc>
          <w:tcPr>
            <w:tcW w:w="312" w:type="dxa"/>
            <w:vAlign w:val="center"/>
          </w:tcPr>
          <w:p w14:paraId="3F589897" w14:textId="77777777" w:rsidR="008E3316" w:rsidRDefault="008E3316" w:rsidP="008E3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E3316" w14:paraId="08805A1E" w14:textId="77777777" w:rsidTr="00A22C35">
        <w:trPr>
          <w:trHeight w:val="129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7C02A68" w14:textId="6A499F79" w:rsidR="008E3316" w:rsidRDefault="008E3316" w:rsidP="008E33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7F197A" w14:textId="77777777" w:rsidR="0086653B" w:rsidRDefault="0086653B" w:rsidP="0086653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86653B">
              <w:rPr>
                <w:rFonts w:cstheme="minorHAnsi"/>
                <w:color w:val="000000"/>
                <w:sz w:val="16"/>
                <w:szCs w:val="16"/>
                <w:lang w:val="en-US"/>
              </w:rPr>
              <w:t>Metóda zahŕňa jednak funkčné, tak aj estetické výhody. S týmto pojmom sa stretávame často v kombinácii s ortodontickou liečbou, pretože veľa krát sú to práve ortodontisti, ktorí si vyžadujú túto chirurgickú konzultáciu.</w:t>
            </w:r>
          </w:p>
          <w:p w14:paraId="4F603B1E" w14:textId="77777777" w:rsidR="008E3316" w:rsidRDefault="0086653B" w:rsidP="0086653B">
            <w:pPr>
              <w:autoSpaceDE w:val="0"/>
              <w:spacing w:after="0" w:line="240" w:lineRule="auto"/>
              <w:rPr>
                <w:rFonts w:eastAsia="SimSun" w:cs="Times New Roman"/>
                <w:sz w:val="16"/>
                <w:szCs w:val="16"/>
                <w:lang w:eastAsia="sk-SK"/>
              </w:rPr>
            </w:pPr>
            <w:r>
              <w:rPr>
                <w:rFonts w:eastAsia="SimSun" w:cs="Times New Roman"/>
                <w:sz w:val="16"/>
                <w:szCs w:val="16"/>
                <w:lang w:eastAsia="sk-SK"/>
              </w:rPr>
              <w:t>/</w:t>
            </w:r>
          </w:p>
          <w:p w14:paraId="3227A662" w14:textId="489E4E88" w:rsidR="0086653B" w:rsidRPr="00CC495A" w:rsidRDefault="0086653B" w:rsidP="0086653B">
            <w:pPr>
              <w:autoSpaceDE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6653B">
              <w:rPr>
                <w:rFonts w:cstheme="minorHAnsi"/>
                <w:color w:val="000000"/>
                <w:sz w:val="16"/>
                <w:szCs w:val="16"/>
                <w:lang w:val="en-US"/>
              </w:rPr>
              <w:t>The method includes both functional and aesthetic advantages. This term is often encountered in combination with orthodontic treatment, as many times it is orthodontists who require this surgical consultation.</w:t>
            </w:r>
            <w:bookmarkStart w:id="1" w:name="_GoBack"/>
            <w:bookmarkEnd w:id="1"/>
          </w:p>
        </w:tc>
        <w:tc>
          <w:tcPr>
            <w:tcW w:w="312" w:type="dxa"/>
            <w:vAlign w:val="center"/>
          </w:tcPr>
          <w:p w14:paraId="3626C5D5" w14:textId="77777777" w:rsidR="008E3316" w:rsidRDefault="008E3316" w:rsidP="008E3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F0DED4B" w14:textId="2E8347AA" w:rsidR="00AE6AF5" w:rsidRDefault="00AE6AF5"/>
    <w:sectPr w:rsidR="00AE6A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9D785" w14:textId="77777777" w:rsidR="003F2275" w:rsidRDefault="003F2275">
      <w:pPr>
        <w:spacing w:line="240" w:lineRule="auto"/>
      </w:pPr>
      <w:r>
        <w:separator/>
      </w:r>
    </w:p>
  </w:endnote>
  <w:endnote w:type="continuationSeparator" w:id="0">
    <w:p w14:paraId="5C744557" w14:textId="77777777" w:rsidR="003F2275" w:rsidRDefault="003F22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00000000" w:usb1="500078FF" w:usb2="00000021" w:usb3="00000000" w:csb0="600001BF" w:csb1="DFF7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2893D" w14:textId="77777777" w:rsidR="003F2275" w:rsidRDefault="003F2275">
      <w:pPr>
        <w:spacing w:after="0"/>
      </w:pPr>
      <w:r>
        <w:separator/>
      </w:r>
    </w:p>
  </w:footnote>
  <w:footnote w:type="continuationSeparator" w:id="0">
    <w:p w14:paraId="31AF5F0C" w14:textId="77777777" w:rsidR="003F2275" w:rsidRDefault="003F227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B7"/>
    <w:rsid w:val="00006015"/>
    <w:rsid w:val="000728AA"/>
    <w:rsid w:val="000C22BD"/>
    <w:rsid w:val="000E03E5"/>
    <w:rsid w:val="00100018"/>
    <w:rsid w:val="00176AE8"/>
    <w:rsid w:val="00190A9C"/>
    <w:rsid w:val="00196782"/>
    <w:rsid w:val="001C08B3"/>
    <w:rsid w:val="001D7D8F"/>
    <w:rsid w:val="00211BB7"/>
    <w:rsid w:val="0025170E"/>
    <w:rsid w:val="00262D7E"/>
    <w:rsid w:val="002E7E48"/>
    <w:rsid w:val="00327906"/>
    <w:rsid w:val="003368DE"/>
    <w:rsid w:val="00336DF4"/>
    <w:rsid w:val="003F2275"/>
    <w:rsid w:val="00404B08"/>
    <w:rsid w:val="004647BF"/>
    <w:rsid w:val="00485D04"/>
    <w:rsid w:val="004A7967"/>
    <w:rsid w:val="004C0ADE"/>
    <w:rsid w:val="004C47AA"/>
    <w:rsid w:val="004C7349"/>
    <w:rsid w:val="0050230B"/>
    <w:rsid w:val="00507AFD"/>
    <w:rsid w:val="0053512B"/>
    <w:rsid w:val="005446A9"/>
    <w:rsid w:val="005532D7"/>
    <w:rsid w:val="00561C27"/>
    <w:rsid w:val="006970C4"/>
    <w:rsid w:val="006B48E8"/>
    <w:rsid w:val="0073261A"/>
    <w:rsid w:val="007A4E3A"/>
    <w:rsid w:val="00801124"/>
    <w:rsid w:val="00801D71"/>
    <w:rsid w:val="00820582"/>
    <w:rsid w:val="00846866"/>
    <w:rsid w:val="0086653B"/>
    <w:rsid w:val="008A326D"/>
    <w:rsid w:val="008C50E0"/>
    <w:rsid w:val="008E3316"/>
    <w:rsid w:val="00911B26"/>
    <w:rsid w:val="0092141E"/>
    <w:rsid w:val="00923DD6"/>
    <w:rsid w:val="00943414"/>
    <w:rsid w:val="00955694"/>
    <w:rsid w:val="00965CF1"/>
    <w:rsid w:val="0098012E"/>
    <w:rsid w:val="009A7080"/>
    <w:rsid w:val="009D0A2B"/>
    <w:rsid w:val="00A1200F"/>
    <w:rsid w:val="00A22C35"/>
    <w:rsid w:val="00A375A0"/>
    <w:rsid w:val="00A64E77"/>
    <w:rsid w:val="00AA26C1"/>
    <w:rsid w:val="00AE6AF5"/>
    <w:rsid w:val="00B0141F"/>
    <w:rsid w:val="00B12830"/>
    <w:rsid w:val="00B74826"/>
    <w:rsid w:val="00B753AC"/>
    <w:rsid w:val="00BB1A23"/>
    <w:rsid w:val="00C40FAB"/>
    <w:rsid w:val="00C732C3"/>
    <w:rsid w:val="00C93149"/>
    <w:rsid w:val="00CC495A"/>
    <w:rsid w:val="00CF2CF7"/>
    <w:rsid w:val="00D0018F"/>
    <w:rsid w:val="00D01A92"/>
    <w:rsid w:val="00D3297D"/>
    <w:rsid w:val="00D357A5"/>
    <w:rsid w:val="00D57764"/>
    <w:rsid w:val="00D65C6D"/>
    <w:rsid w:val="00D671F9"/>
    <w:rsid w:val="00DC6E78"/>
    <w:rsid w:val="00DF673C"/>
    <w:rsid w:val="00E0267E"/>
    <w:rsid w:val="00E1662D"/>
    <w:rsid w:val="00E32D0C"/>
    <w:rsid w:val="00E42110"/>
    <w:rsid w:val="00E5113C"/>
    <w:rsid w:val="00E72ED9"/>
    <w:rsid w:val="00EA08D8"/>
    <w:rsid w:val="00EB194F"/>
    <w:rsid w:val="00EC2A23"/>
    <w:rsid w:val="00ED6A26"/>
    <w:rsid w:val="00EE5AED"/>
    <w:rsid w:val="00F0134C"/>
    <w:rsid w:val="00F0140C"/>
    <w:rsid w:val="00F12DCA"/>
    <w:rsid w:val="00F31DA7"/>
    <w:rsid w:val="00F359F4"/>
    <w:rsid w:val="00F45758"/>
    <w:rsid w:val="00F72524"/>
    <w:rsid w:val="00FF718D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368AA"/>
  <w15:docId w15:val="{D8723ADC-8828-4121-9AF7-87F58FFA3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1C08B3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1C08B3"/>
  </w:style>
  <w:style w:type="paragraph" w:styleId="Odsekzoznamu">
    <w:name w:val="List Paragraph"/>
    <w:basedOn w:val="Normlny"/>
    <w:uiPriority w:val="99"/>
    <w:rsid w:val="00F12DCA"/>
    <w:pPr>
      <w:ind w:left="720"/>
      <w:contextualSpacing/>
    </w:pPr>
  </w:style>
  <w:style w:type="character" w:customStyle="1" w:styleId="Nadpis3Char">
    <w:name w:val="Nadpis 3 Char"/>
    <w:basedOn w:val="Predvolenpsmoodseku"/>
    <w:rsid w:val="008E3316"/>
    <w:rPr>
      <w:rFonts w:ascii="Times New Roman" w:eastAsia="Times New Roman" w:hAnsi="Times New Roman" w:cs="Times New Roman"/>
      <w:color w:val="4F81BD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8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9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5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elisk</cp:lastModifiedBy>
  <cp:revision>2</cp:revision>
  <dcterms:created xsi:type="dcterms:W3CDTF">2024-04-11T10:02:00Z</dcterms:created>
  <dcterms:modified xsi:type="dcterms:W3CDTF">2024-04-11T10:02:00Z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